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6A168D" w14:textId="7B186EE9" w:rsidR="000B7488" w:rsidRDefault="000B7488" w:rsidP="000B7488">
      <w:pPr>
        <w:pStyle w:val="Heading1"/>
        <w:jc w:val="center"/>
      </w:pPr>
      <w:r w:rsidRPr="004A4232">
        <w:rPr>
          <w:noProof/>
        </w:rPr>
        <w:drawing>
          <wp:inline distT="0" distB="0" distL="0" distR="0" wp14:anchorId="7363CFD6" wp14:editId="572933DC">
            <wp:extent cx="1504950" cy="1704975"/>
            <wp:effectExtent l="0" t="0" r="0" b="9525"/>
            <wp:docPr id="1" name="Picture 1" descr="A picture containing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clock&#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04950" cy="1704975"/>
                    </a:xfrm>
                    <a:prstGeom prst="rect">
                      <a:avLst/>
                    </a:prstGeom>
                    <a:noFill/>
                    <a:ln>
                      <a:noFill/>
                    </a:ln>
                  </pic:spPr>
                </pic:pic>
              </a:graphicData>
            </a:graphic>
          </wp:inline>
        </w:drawing>
      </w:r>
    </w:p>
    <w:p w14:paraId="4650C3CE" w14:textId="2DA343BB" w:rsidR="00EA2A28" w:rsidRDefault="00DF2C4D">
      <w:pPr>
        <w:pStyle w:val="Heading1"/>
      </w:pPr>
      <w:r>
        <w:t xml:space="preserve">Swinderby All Saints </w:t>
      </w:r>
      <w:r w:rsidR="005B7B91">
        <w:t>Key stage 2 comparative report</w:t>
      </w:r>
      <w:r>
        <w:t>.  July 2022</w:t>
      </w:r>
    </w:p>
    <w:p w14:paraId="4650C3CF" w14:textId="611F4DC9" w:rsidR="00EA2A28" w:rsidRDefault="005B7B91">
      <w:pPr>
        <w:spacing w:after="240"/>
      </w:pPr>
      <w:r>
        <w:t xml:space="preserve">This information allows you to compare your child’s performance at the end of key stage 2 with the attainment of other year 6 pupils in our school </w:t>
      </w:r>
      <w:r w:rsidR="00C856A7">
        <w:t xml:space="preserve">this year, </w:t>
      </w:r>
      <w:r>
        <w:t>and acro</w:t>
      </w:r>
      <w:bookmarkStart w:id="0" w:name="_GoBack"/>
      <w:bookmarkEnd w:id="0"/>
      <w:r>
        <w:t>ss England</w:t>
      </w:r>
      <w:r w:rsidR="00C856A7">
        <w:t xml:space="preserve"> in 2019*</w:t>
      </w:r>
      <w:r>
        <w:t xml:space="preserve">. </w:t>
      </w:r>
    </w:p>
    <w:tbl>
      <w:tblPr>
        <w:tblW w:w="11721" w:type="dxa"/>
        <w:tblCellMar>
          <w:left w:w="10" w:type="dxa"/>
          <w:right w:w="10" w:type="dxa"/>
        </w:tblCellMar>
        <w:tblLook w:val="04A0" w:firstRow="1" w:lastRow="0" w:firstColumn="1" w:lastColumn="0" w:noHBand="0" w:noVBand="1"/>
      </w:tblPr>
      <w:tblGrid>
        <w:gridCol w:w="2524"/>
        <w:gridCol w:w="1968"/>
        <w:gridCol w:w="1979"/>
        <w:gridCol w:w="1979"/>
        <w:gridCol w:w="1604"/>
        <w:gridCol w:w="1667"/>
      </w:tblGrid>
      <w:tr w:rsidR="00D21D3A" w14:paraId="4650C3D6" w14:textId="7737339B" w:rsidTr="00822670">
        <w:trPr>
          <w:trHeight w:val="454"/>
          <w:tblHeader/>
        </w:trPr>
        <w:tc>
          <w:tcPr>
            <w:tcW w:w="2524" w:type="dxa"/>
            <w:tcBorders>
              <w:top w:val="single" w:sz="4" w:space="0" w:color="000000"/>
              <w:left w:val="single" w:sz="4" w:space="0" w:color="000000"/>
              <w:bottom w:val="single" w:sz="4" w:space="0" w:color="000000"/>
              <w:right w:val="single" w:sz="4" w:space="0" w:color="000000"/>
            </w:tcBorders>
            <w:shd w:val="clear" w:color="auto" w:fill="CFDCE3"/>
            <w:tcMar>
              <w:top w:w="0" w:type="dxa"/>
              <w:left w:w="0" w:type="dxa"/>
              <w:bottom w:w="0" w:type="dxa"/>
              <w:right w:w="0" w:type="dxa"/>
            </w:tcMar>
            <w:vAlign w:val="center"/>
          </w:tcPr>
          <w:p w14:paraId="4650C3D0" w14:textId="77777777" w:rsidR="00D21D3A" w:rsidRDefault="00D21D3A" w:rsidP="00D21D3A">
            <w:pPr>
              <w:spacing w:before="60" w:after="60" w:line="240" w:lineRule="auto"/>
              <w:ind w:left="57" w:right="57"/>
              <w:jc w:val="center"/>
              <w:rPr>
                <w:b/>
                <w:color w:val="0D0D0D"/>
                <w:sz w:val="24"/>
              </w:rPr>
            </w:pPr>
            <w:r>
              <w:rPr>
                <w:b/>
                <w:color w:val="0D0D0D"/>
                <w:sz w:val="24"/>
              </w:rPr>
              <w:lastRenderedPageBreak/>
              <w:t>Subject</w:t>
            </w:r>
          </w:p>
        </w:tc>
        <w:tc>
          <w:tcPr>
            <w:tcW w:w="1968" w:type="dxa"/>
            <w:tcBorders>
              <w:top w:val="single" w:sz="4" w:space="0" w:color="000000"/>
              <w:left w:val="single" w:sz="4" w:space="0" w:color="000000"/>
              <w:bottom w:val="single" w:sz="4" w:space="0" w:color="000000"/>
              <w:right w:val="single" w:sz="4" w:space="0" w:color="000000"/>
            </w:tcBorders>
            <w:shd w:val="clear" w:color="auto" w:fill="CFDCE3"/>
            <w:tcMar>
              <w:top w:w="0" w:type="dxa"/>
              <w:left w:w="0" w:type="dxa"/>
              <w:bottom w:w="0" w:type="dxa"/>
              <w:right w:w="0" w:type="dxa"/>
            </w:tcMar>
            <w:vAlign w:val="center"/>
          </w:tcPr>
          <w:p w14:paraId="4650C3D1" w14:textId="62C6D880" w:rsidR="00D21D3A" w:rsidRDefault="00D21D3A" w:rsidP="00D21D3A">
            <w:pPr>
              <w:spacing w:before="60" w:after="60" w:line="240" w:lineRule="auto"/>
              <w:ind w:left="57" w:right="57"/>
              <w:jc w:val="center"/>
            </w:pPr>
            <w:r>
              <w:rPr>
                <w:rFonts w:cs="Arial"/>
                <w:b/>
                <w:sz w:val="24"/>
              </w:rPr>
              <w:t>Percentage of pupils achieving at least the expected standard: school (2022)</w:t>
            </w:r>
          </w:p>
        </w:tc>
        <w:tc>
          <w:tcPr>
            <w:tcW w:w="1979" w:type="dxa"/>
            <w:tcBorders>
              <w:top w:val="single" w:sz="4" w:space="0" w:color="000000"/>
              <w:left w:val="single" w:sz="4" w:space="0" w:color="000000"/>
              <w:bottom w:val="single" w:sz="4" w:space="0" w:color="000000"/>
              <w:right w:val="single" w:sz="4" w:space="0" w:color="000000"/>
            </w:tcBorders>
            <w:shd w:val="clear" w:color="auto" w:fill="CFDCE3"/>
            <w:vAlign w:val="center"/>
          </w:tcPr>
          <w:p w14:paraId="061124BF" w14:textId="2F8ABB9E" w:rsidR="00D21D3A" w:rsidRDefault="00D21D3A" w:rsidP="00D21D3A">
            <w:pPr>
              <w:spacing w:before="60" w:after="60" w:line="240" w:lineRule="auto"/>
              <w:ind w:left="57" w:right="57"/>
              <w:jc w:val="center"/>
              <w:rPr>
                <w:rFonts w:cs="Arial"/>
                <w:b/>
                <w:sz w:val="24"/>
              </w:rPr>
            </w:pPr>
            <w:r>
              <w:rPr>
                <w:rFonts w:cs="Arial"/>
                <w:b/>
                <w:sz w:val="24"/>
              </w:rPr>
              <w:t>Percentage of pupils achieving at least the expected standard: nationally (2022) to be verified</w:t>
            </w:r>
          </w:p>
        </w:tc>
        <w:tc>
          <w:tcPr>
            <w:tcW w:w="1979" w:type="dxa"/>
            <w:tcBorders>
              <w:top w:val="single" w:sz="4" w:space="0" w:color="000000"/>
              <w:left w:val="single" w:sz="4" w:space="0" w:color="000000"/>
              <w:bottom w:val="single" w:sz="4" w:space="0" w:color="000000"/>
              <w:right w:val="single" w:sz="4" w:space="0" w:color="000000"/>
            </w:tcBorders>
            <w:shd w:val="clear" w:color="auto" w:fill="CFDCE3"/>
            <w:tcMar>
              <w:top w:w="0" w:type="dxa"/>
              <w:left w:w="0" w:type="dxa"/>
              <w:bottom w:w="0" w:type="dxa"/>
              <w:right w:w="0" w:type="dxa"/>
            </w:tcMar>
            <w:vAlign w:val="center"/>
          </w:tcPr>
          <w:p w14:paraId="4650C3D2" w14:textId="0B102968" w:rsidR="00D21D3A" w:rsidRDefault="00D21D3A" w:rsidP="00D21D3A">
            <w:pPr>
              <w:spacing w:before="60" w:after="60" w:line="240" w:lineRule="auto"/>
              <w:ind w:left="57" w:right="57"/>
              <w:jc w:val="center"/>
            </w:pPr>
            <w:r>
              <w:rPr>
                <w:rFonts w:cs="Arial"/>
                <w:b/>
                <w:sz w:val="24"/>
              </w:rPr>
              <w:t>Percentage of pupils achieving at least the expected standard: nationally (2019)</w:t>
            </w:r>
            <w:r>
              <w:rPr>
                <w:rStyle w:val="FootnoteReference"/>
                <w:rFonts w:cs="Arial"/>
                <w:sz w:val="24"/>
              </w:rPr>
              <w:footnoteReference w:id="1"/>
            </w:r>
          </w:p>
        </w:tc>
        <w:tc>
          <w:tcPr>
            <w:tcW w:w="1604" w:type="dxa"/>
            <w:tcBorders>
              <w:top w:val="single" w:sz="4" w:space="0" w:color="000000"/>
              <w:left w:val="single" w:sz="4" w:space="0" w:color="000000"/>
              <w:bottom w:val="single" w:sz="4" w:space="0" w:color="000000"/>
              <w:right w:val="single" w:sz="4" w:space="0" w:color="000000"/>
            </w:tcBorders>
            <w:shd w:val="clear" w:color="auto" w:fill="CFDCE3"/>
            <w:tcMar>
              <w:top w:w="0" w:type="dxa"/>
              <w:left w:w="0" w:type="dxa"/>
              <w:bottom w:w="0" w:type="dxa"/>
              <w:right w:w="0" w:type="dxa"/>
            </w:tcMar>
          </w:tcPr>
          <w:p w14:paraId="4650C3D3" w14:textId="26F75B26" w:rsidR="00D21D3A" w:rsidRDefault="00D21D3A" w:rsidP="00D21D3A">
            <w:pPr>
              <w:spacing w:before="60" w:after="60" w:line="240" w:lineRule="auto"/>
              <w:ind w:left="57" w:right="57"/>
              <w:jc w:val="center"/>
            </w:pPr>
            <w:r>
              <w:rPr>
                <w:rFonts w:cs="Arial"/>
                <w:b/>
                <w:sz w:val="24"/>
              </w:rPr>
              <w:t>Average scaled score: school (2022)</w:t>
            </w:r>
            <w:r>
              <w:rPr>
                <w:rStyle w:val="FootnoteReference"/>
                <w:rFonts w:cs="Arial"/>
                <w:sz w:val="24"/>
              </w:rPr>
              <w:footnoteReference w:id="2"/>
            </w:r>
          </w:p>
        </w:tc>
        <w:tc>
          <w:tcPr>
            <w:tcW w:w="1667" w:type="dxa"/>
            <w:tcBorders>
              <w:top w:val="single" w:sz="4" w:space="0" w:color="000000"/>
              <w:left w:val="single" w:sz="4" w:space="0" w:color="000000"/>
              <w:bottom w:val="single" w:sz="4" w:space="0" w:color="000000"/>
              <w:right w:val="single" w:sz="4" w:space="0" w:color="000000"/>
            </w:tcBorders>
            <w:shd w:val="clear" w:color="auto" w:fill="CFDCE3"/>
            <w:tcMar>
              <w:top w:w="0" w:type="dxa"/>
              <w:left w:w="0" w:type="dxa"/>
              <w:bottom w:w="0" w:type="dxa"/>
              <w:right w:w="0" w:type="dxa"/>
            </w:tcMar>
          </w:tcPr>
          <w:p w14:paraId="4650C3D5" w14:textId="6AE9C196" w:rsidR="00D21D3A" w:rsidRDefault="00D21D3A" w:rsidP="00D21D3A">
            <w:pPr>
              <w:spacing w:before="60" w:after="60" w:line="240" w:lineRule="auto"/>
              <w:ind w:left="57" w:right="57"/>
              <w:jc w:val="center"/>
              <w:rPr>
                <w:rFonts w:cs="Arial"/>
                <w:b/>
                <w:sz w:val="24"/>
              </w:rPr>
            </w:pPr>
            <w:r>
              <w:rPr>
                <w:rFonts w:cs="Arial"/>
                <w:b/>
                <w:sz w:val="24"/>
              </w:rPr>
              <w:t xml:space="preserve"> Average scaled score: nationally (2019)</w:t>
            </w:r>
            <w:r>
              <w:rPr>
                <w:rStyle w:val="FootnoteReference"/>
                <w:rFonts w:cs="Arial"/>
                <w:sz w:val="24"/>
              </w:rPr>
              <w:footnoteReference w:id="3"/>
            </w:r>
          </w:p>
        </w:tc>
      </w:tr>
      <w:tr w:rsidR="00D21D3A" w14:paraId="4650C3DC" w14:textId="455174AF" w:rsidTr="00822670">
        <w:trPr>
          <w:trHeight w:val="454"/>
          <w:tblHeader/>
        </w:trPr>
        <w:tc>
          <w:tcPr>
            <w:tcW w:w="252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650C3D7" w14:textId="77777777" w:rsidR="00D21D3A" w:rsidRDefault="00D21D3A" w:rsidP="00D21D3A">
            <w:pPr>
              <w:spacing w:before="60" w:after="60" w:line="240" w:lineRule="auto"/>
              <w:ind w:right="57"/>
              <w:jc w:val="center"/>
              <w:rPr>
                <w:color w:val="0D0D0D"/>
                <w:sz w:val="24"/>
              </w:rPr>
            </w:pPr>
            <w:r>
              <w:rPr>
                <w:color w:val="0D0D0D"/>
                <w:sz w:val="24"/>
              </w:rPr>
              <w:t>English reading</w:t>
            </w:r>
          </w:p>
        </w:tc>
        <w:tc>
          <w:tcPr>
            <w:tcW w:w="19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650C3D8" w14:textId="0871A8F5" w:rsidR="00D21D3A" w:rsidRPr="00EF7975" w:rsidRDefault="00D21D3A" w:rsidP="00D21D3A">
            <w:pPr>
              <w:spacing w:before="60" w:after="60" w:line="240" w:lineRule="auto"/>
              <w:ind w:left="57" w:right="57"/>
              <w:jc w:val="center"/>
              <w:rPr>
                <w:color w:val="00B050"/>
                <w:sz w:val="24"/>
              </w:rPr>
            </w:pPr>
            <w:r w:rsidRPr="00EF7975">
              <w:rPr>
                <w:color w:val="00B050"/>
                <w:sz w:val="24"/>
              </w:rPr>
              <w:t>80%</w:t>
            </w:r>
          </w:p>
        </w:tc>
        <w:tc>
          <w:tcPr>
            <w:tcW w:w="1979" w:type="dxa"/>
            <w:tcBorders>
              <w:top w:val="single" w:sz="4" w:space="0" w:color="000000"/>
              <w:left w:val="single" w:sz="4" w:space="0" w:color="000000"/>
              <w:bottom w:val="single" w:sz="4" w:space="0" w:color="000000"/>
              <w:right w:val="single" w:sz="4" w:space="0" w:color="000000"/>
            </w:tcBorders>
            <w:vAlign w:val="center"/>
          </w:tcPr>
          <w:p w14:paraId="4D6CC8B8" w14:textId="784C58DD" w:rsidR="00D21D3A" w:rsidRDefault="00D21D3A" w:rsidP="00D21D3A">
            <w:pPr>
              <w:spacing w:before="60" w:after="60" w:line="240" w:lineRule="auto"/>
              <w:ind w:left="57" w:right="57"/>
              <w:jc w:val="center"/>
              <w:rPr>
                <w:sz w:val="24"/>
              </w:rPr>
            </w:pPr>
            <w:r>
              <w:rPr>
                <w:sz w:val="24"/>
              </w:rPr>
              <w:t>74%</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650C3D9" w14:textId="7630E923" w:rsidR="00D21D3A" w:rsidRDefault="00D21D3A" w:rsidP="00D21D3A">
            <w:pPr>
              <w:spacing w:before="60" w:after="60" w:line="240" w:lineRule="auto"/>
              <w:ind w:left="57" w:right="57"/>
              <w:jc w:val="center"/>
              <w:rPr>
                <w:sz w:val="24"/>
              </w:rPr>
            </w:pPr>
            <w:r>
              <w:rPr>
                <w:sz w:val="24"/>
              </w:rPr>
              <w:t>73%</w:t>
            </w:r>
          </w:p>
        </w:tc>
        <w:tc>
          <w:tcPr>
            <w:tcW w:w="16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650C3DA" w14:textId="0FDB005A" w:rsidR="00D21D3A" w:rsidRPr="00EF7975" w:rsidRDefault="00D21D3A" w:rsidP="00D21D3A">
            <w:pPr>
              <w:spacing w:before="60" w:after="60" w:line="240" w:lineRule="auto"/>
              <w:ind w:left="57" w:right="57"/>
              <w:jc w:val="center"/>
              <w:rPr>
                <w:color w:val="00B050"/>
                <w:sz w:val="24"/>
              </w:rPr>
            </w:pPr>
            <w:r w:rsidRPr="00EF7975">
              <w:rPr>
                <w:color w:val="00B050"/>
                <w:sz w:val="24"/>
              </w:rPr>
              <w:t>105.4</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650C3DB" w14:textId="77777777" w:rsidR="00D21D3A" w:rsidRDefault="00D21D3A" w:rsidP="00D21D3A">
            <w:pPr>
              <w:spacing w:before="60" w:after="60" w:line="240" w:lineRule="auto"/>
              <w:ind w:left="57" w:right="57"/>
              <w:jc w:val="center"/>
              <w:rPr>
                <w:sz w:val="24"/>
              </w:rPr>
            </w:pPr>
            <w:r>
              <w:rPr>
                <w:sz w:val="24"/>
              </w:rPr>
              <w:t>104</w:t>
            </w:r>
          </w:p>
        </w:tc>
      </w:tr>
      <w:tr w:rsidR="00D21D3A" w14:paraId="4650C3E2" w14:textId="7E7C0C72" w:rsidTr="00822670">
        <w:trPr>
          <w:trHeight w:val="454"/>
          <w:tblHeader/>
        </w:trPr>
        <w:tc>
          <w:tcPr>
            <w:tcW w:w="252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650C3DD" w14:textId="77777777" w:rsidR="00D21D3A" w:rsidRDefault="00D21D3A" w:rsidP="00D21D3A">
            <w:pPr>
              <w:spacing w:before="60" w:after="60" w:line="240" w:lineRule="auto"/>
              <w:ind w:right="57"/>
              <w:jc w:val="center"/>
              <w:rPr>
                <w:color w:val="0D0D0D"/>
                <w:sz w:val="24"/>
              </w:rPr>
            </w:pPr>
            <w:r>
              <w:rPr>
                <w:color w:val="0D0D0D"/>
                <w:sz w:val="24"/>
              </w:rPr>
              <w:t>English grammar, punctuation and spelling</w:t>
            </w:r>
          </w:p>
        </w:tc>
        <w:tc>
          <w:tcPr>
            <w:tcW w:w="19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650C3DE" w14:textId="42416287" w:rsidR="00D21D3A" w:rsidRPr="00EF7975" w:rsidRDefault="00D21D3A" w:rsidP="00D21D3A">
            <w:pPr>
              <w:spacing w:before="60" w:after="60" w:line="240" w:lineRule="auto"/>
              <w:ind w:left="57" w:right="57"/>
              <w:jc w:val="center"/>
              <w:rPr>
                <w:color w:val="00B050"/>
                <w:sz w:val="24"/>
              </w:rPr>
            </w:pPr>
            <w:r w:rsidRPr="00EF7975">
              <w:rPr>
                <w:color w:val="00B050"/>
                <w:sz w:val="24"/>
              </w:rPr>
              <w:t>90%</w:t>
            </w:r>
          </w:p>
        </w:tc>
        <w:tc>
          <w:tcPr>
            <w:tcW w:w="1979" w:type="dxa"/>
            <w:tcBorders>
              <w:top w:val="single" w:sz="4" w:space="0" w:color="000000"/>
              <w:left w:val="single" w:sz="4" w:space="0" w:color="000000"/>
              <w:bottom w:val="single" w:sz="4" w:space="0" w:color="000000"/>
              <w:right w:val="single" w:sz="4" w:space="0" w:color="000000"/>
            </w:tcBorders>
            <w:vAlign w:val="center"/>
          </w:tcPr>
          <w:p w14:paraId="7DABE806" w14:textId="23FA0688" w:rsidR="00D21D3A" w:rsidRDefault="00D21D3A" w:rsidP="00D21D3A">
            <w:pPr>
              <w:spacing w:before="60" w:after="60" w:line="240" w:lineRule="auto"/>
              <w:ind w:left="57" w:right="57"/>
              <w:jc w:val="center"/>
              <w:rPr>
                <w:sz w:val="24"/>
              </w:rPr>
            </w:pPr>
            <w:r>
              <w:rPr>
                <w:sz w:val="24"/>
              </w:rPr>
              <w:t>72%</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650C3DF" w14:textId="48EE6BD7" w:rsidR="00D21D3A" w:rsidRDefault="00D21D3A" w:rsidP="00D21D3A">
            <w:pPr>
              <w:spacing w:before="60" w:after="60" w:line="240" w:lineRule="auto"/>
              <w:ind w:left="57" w:right="57"/>
              <w:jc w:val="center"/>
              <w:rPr>
                <w:sz w:val="24"/>
              </w:rPr>
            </w:pPr>
            <w:r>
              <w:rPr>
                <w:sz w:val="24"/>
              </w:rPr>
              <w:t>78%</w:t>
            </w:r>
          </w:p>
        </w:tc>
        <w:tc>
          <w:tcPr>
            <w:tcW w:w="16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650C3E0" w14:textId="4E32738F" w:rsidR="00D21D3A" w:rsidRPr="00EF7975" w:rsidRDefault="00D21D3A" w:rsidP="00D21D3A">
            <w:pPr>
              <w:spacing w:before="60" w:after="60" w:line="240" w:lineRule="auto"/>
              <w:ind w:left="57" w:right="57"/>
              <w:jc w:val="center"/>
              <w:rPr>
                <w:color w:val="00B050"/>
                <w:sz w:val="24"/>
              </w:rPr>
            </w:pPr>
            <w:r w:rsidRPr="00EF7975">
              <w:rPr>
                <w:color w:val="00B050"/>
                <w:sz w:val="24"/>
              </w:rPr>
              <w:t>106.8</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650C3E1" w14:textId="77777777" w:rsidR="00D21D3A" w:rsidRDefault="00D21D3A" w:rsidP="00D21D3A">
            <w:pPr>
              <w:spacing w:before="60" w:after="60" w:line="240" w:lineRule="auto"/>
              <w:ind w:left="57" w:right="57"/>
              <w:jc w:val="center"/>
              <w:rPr>
                <w:sz w:val="24"/>
              </w:rPr>
            </w:pPr>
            <w:r>
              <w:rPr>
                <w:sz w:val="24"/>
              </w:rPr>
              <w:t>106</w:t>
            </w:r>
          </w:p>
        </w:tc>
      </w:tr>
      <w:tr w:rsidR="00D21D3A" w14:paraId="4650C3E8" w14:textId="23A2D970" w:rsidTr="00822670">
        <w:trPr>
          <w:trHeight w:val="454"/>
          <w:tblHeader/>
        </w:trPr>
        <w:tc>
          <w:tcPr>
            <w:tcW w:w="252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650C3E3" w14:textId="77777777" w:rsidR="00D21D3A" w:rsidRDefault="00D21D3A" w:rsidP="00D21D3A">
            <w:pPr>
              <w:spacing w:before="60" w:after="60" w:line="240" w:lineRule="auto"/>
              <w:ind w:right="57"/>
              <w:jc w:val="center"/>
              <w:rPr>
                <w:color w:val="0D0D0D"/>
                <w:sz w:val="24"/>
              </w:rPr>
            </w:pPr>
            <w:r>
              <w:rPr>
                <w:color w:val="0D0D0D"/>
                <w:sz w:val="24"/>
              </w:rPr>
              <w:t>Mathematics</w:t>
            </w:r>
          </w:p>
        </w:tc>
        <w:tc>
          <w:tcPr>
            <w:tcW w:w="19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650C3E4" w14:textId="5C1AA1E4" w:rsidR="00D21D3A" w:rsidRPr="00EF7975" w:rsidRDefault="00D21D3A" w:rsidP="00D21D3A">
            <w:pPr>
              <w:spacing w:before="60" w:after="60" w:line="240" w:lineRule="auto"/>
              <w:ind w:left="57" w:right="57"/>
              <w:jc w:val="center"/>
              <w:rPr>
                <w:color w:val="00B050"/>
                <w:sz w:val="24"/>
              </w:rPr>
            </w:pPr>
            <w:r w:rsidRPr="00EF7975">
              <w:rPr>
                <w:color w:val="00B050"/>
                <w:sz w:val="24"/>
              </w:rPr>
              <w:t>80%</w:t>
            </w:r>
          </w:p>
        </w:tc>
        <w:tc>
          <w:tcPr>
            <w:tcW w:w="1979" w:type="dxa"/>
            <w:tcBorders>
              <w:top w:val="single" w:sz="4" w:space="0" w:color="000000"/>
              <w:left w:val="single" w:sz="4" w:space="0" w:color="000000"/>
              <w:bottom w:val="single" w:sz="4" w:space="0" w:color="000000"/>
              <w:right w:val="single" w:sz="4" w:space="0" w:color="000000"/>
            </w:tcBorders>
            <w:vAlign w:val="center"/>
          </w:tcPr>
          <w:p w14:paraId="0867AF41" w14:textId="49D946C7" w:rsidR="00D21D3A" w:rsidRDefault="00D21D3A" w:rsidP="00D21D3A">
            <w:pPr>
              <w:spacing w:before="60" w:after="60" w:line="240" w:lineRule="auto"/>
              <w:ind w:left="57" w:right="57"/>
              <w:jc w:val="center"/>
              <w:rPr>
                <w:sz w:val="24"/>
              </w:rPr>
            </w:pPr>
            <w:r>
              <w:rPr>
                <w:sz w:val="24"/>
              </w:rPr>
              <w:t>71%</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650C3E5" w14:textId="05C59812" w:rsidR="00D21D3A" w:rsidRDefault="00D21D3A" w:rsidP="00D21D3A">
            <w:pPr>
              <w:spacing w:before="60" w:after="60" w:line="240" w:lineRule="auto"/>
              <w:ind w:left="57" w:right="57"/>
              <w:jc w:val="center"/>
              <w:rPr>
                <w:sz w:val="24"/>
              </w:rPr>
            </w:pPr>
            <w:r>
              <w:rPr>
                <w:sz w:val="24"/>
              </w:rPr>
              <w:t>79%</w:t>
            </w:r>
          </w:p>
        </w:tc>
        <w:tc>
          <w:tcPr>
            <w:tcW w:w="16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650C3E6" w14:textId="07C8D5C3" w:rsidR="00D21D3A" w:rsidRPr="00EF7975" w:rsidRDefault="00D21D3A" w:rsidP="00D21D3A">
            <w:pPr>
              <w:spacing w:before="60" w:after="60" w:line="240" w:lineRule="auto"/>
              <w:ind w:left="57" w:right="57"/>
              <w:jc w:val="center"/>
              <w:rPr>
                <w:color w:val="00B050"/>
                <w:sz w:val="24"/>
              </w:rPr>
            </w:pPr>
            <w:r w:rsidRPr="00EF7975">
              <w:rPr>
                <w:color w:val="00B050"/>
                <w:sz w:val="24"/>
              </w:rPr>
              <w:t>103.8</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650C3E7" w14:textId="77777777" w:rsidR="00D21D3A" w:rsidRDefault="00D21D3A" w:rsidP="00D21D3A">
            <w:pPr>
              <w:spacing w:before="60" w:after="60" w:line="240" w:lineRule="auto"/>
              <w:ind w:left="57" w:right="57"/>
              <w:jc w:val="center"/>
              <w:rPr>
                <w:sz w:val="24"/>
              </w:rPr>
            </w:pPr>
            <w:r>
              <w:rPr>
                <w:sz w:val="24"/>
              </w:rPr>
              <w:t>105</w:t>
            </w:r>
          </w:p>
        </w:tc>
      </w:tr>
      <w:tr w:rsidR="00D21D3A" w14:paraId="4650C3EE" w14:textId="24641B1F" w:rsidTr="00822670">
        <w:trPr>
          <w:trHeight w:val="454"/>
          <w:tblHeader/>
        </w:trPr>
        <w:tc>
          <w:tcPr>
            <w:tcW w:w="252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650C3E9" w14:textId="77777777" w:rsidR="00D21D3A" w:rsidRDefault="00D21D3A" w:rsidP="00D21D3A">
            <w:pPr>
              <w:spacing w:before="60" w:after="60" w:line="240" w:lineRule="auto"/>
              <w:ind w:left="57" w:right="57"/>
              <w:jc w:val="center"/>
            </w:pPr>
            <w:r>
              <w:rPr>
                <w:rFonts w:cs="Arial"/>
                <w:sz w:val="24"/>
              </w:rPr>
              <w:t xml:space="preserve">English writing (teacher assessment) </w:t>
            </w:r>
          </w:p>
        </w:tc>
        <w:tc>
          <w:tcPr>
            <w:tcW w:w="19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650C3EA" w14:textId="4ADAD677" w:rsidR="00D21D3A" w:rsidRPr="00EF7975" w:rsidRDefault="00D21D3A" w:rsidP="00D21D3A">
            <w:pPr>
              <w:spacing w:before="60" w:after="60" w:line="240" w:lineRule="auto"/>
              <w:ind w:left="57" w:right="57"/>
              <w:jc w:val="center"/>
              <w:rPr>
                <w:color w:val="00B050"/>
                <w:sz w:val="24"/>
              </w:rPr>
            </w:pPr>
            <w:r w:rsidRPr="00EF7975">
              <w:rPr>
                <w:color w:val="00B050"/>
                <w:sz w:val="24"/>
              </w:rPr>
              <w:t>70%</w:t>
            </w:r>
          </w:p>
        </w:tc>
        <w:tc>
          <w:tcPr>
            <w:tcW w:w="1979" w:type="dxa"/>
            <w:tcBorders>
              <w:top w:val="single" w:sz="4" w:space="0" w:color="000000"/>
              <w:left w:val="single" w:sz="4" w:space="0" w:color="000000"/>
              <w:bottom w:val="single" w:sz="4" w:space="0" w:color="000000"/>
              <w:right w:val="single" w:sz="4" w:space="0" w:color="000000"/>
            </w:tcBorders>
            <w:vAlign w:val="center"/>
          </w:tcPr>
          <w:p w14:paraId="44816AFB" w14:textId="2F7D230D" w:rsidR="00D21D3A" w:rsidRDefault="00D21D3A" w:rsidP="00D21D3A">
            <w:pPr>
              <w:spacing w:before="60" w:after="60" w:line="240" w:lineRule="auto"/>
              <w:ind w:left="57" w:right="57"/>
              <w:jc w:val="center"/>
              <w:rPr>
                <w:sz w:val="24"/>
              </w:rPr>
            </w:pPr>
            <w:r>
              <w:rPr>
                <w:rFonts w:cs="Arial"/>
                <w:sz w:val="24"/>
              </w:rPr>
              <w:t>69%</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650C3EB" w14:textId="57828050" w:rsidR="00D21D3A" w:rsidRDefault="00D21D3A" w:rsidP="00D21D3A">
            <w:pPr>
              <w:spacing w:before="60" w:after="60" w:line="240" w:lineRule="auto"/>
              <w:ind w:left="57" w:right="57"/>
              <w:jc w:val="center"/>
              <w:rPr>
                <w:sz w:val="24"/>
              </w:rPr>
            </w:pPr>
            <w:r>
              <w:rPr>
                <w:sz w:val="24"/>
              </w:rPr>
              <w:t>78%</w:t>
            </w:r>
          </w:p>
        </w:tc>
        <w:tc>
          <w:tcPr>
            <w:tcW w:w="16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650C3EC" w14:textId="77777777" w:rsidR="00D21D3A" w:rsidRPr="00EF7975" w:rsidRDefault="00D21D3A" w:rsidP="00D21D3A">
            <w:pPr>
              <w:spacing w:before="60" w:after="60" w:line="240" w:lineRule="auto"/>
              <w:ind w:left="57" w:right="57"/>
              <w:jc w:val="center"/>
              <w:rPr>
                <w:color w:val="00B050"/>
                <w:sz w:val="24"/>
              </w:rPr>
            </w:pPr>
            <w:r w:rsidRPr="00EF7975">
              <w:rPr>
                <w:color w:val="00B050"/>
                <w:sz w:val="24"/>
              </w:rPr>
              <w:t>N/A</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650C3ED" w14:textId="77777777" w:rsidR="00D21D3A" w:rsidRDefault="00D21D3A" w:rsidP="00D21D3A">
            <w:pPr>
              <w:spacing w:before="60" w:after="60" w:line="240" w:lineRule="auto"/>
              <w:ind w:left="57" w:right="57"/>
              <w:jc w:val="center"/>
            </w:pPr>
            <w:r>
              <w:rPr>
                <w:rFonts w:cs="Arial"/>
                <w:sz w:val="24"/>
              </w:rPr>
              <w:t>N/A</w:t>
            </w:r>
          </w:p>
        </w:tc>
      </w:tr>
      <w:tr w:rsidR="00D21D3A" w14:paraId="4650C3F6" w14:textId="5CE0333B" w:rsidTr="00822670">
        <w:trPr>
          <w:trHeight w:val="307"/>
          <w:tblHeader/>
        </w:trPr>
        <w:tc>
          <w:tcPr>
            <w:tcW w:w="252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650C3EF" w14:textId="77777777" w:rsidR="00D21D3A" w:rsidRDefault="00D21D3A" w:rsidP="00D21D3A">
            <w:pPr>
              <w:spacing w:before="60" w:after="60" w:line="240" w:lineRule="auto"/>
              <w:ind w:left="57" w:right="57"/>
              <w:jc w:val="center"/>
              <w:rPr>
                <w:color w:val="0D0D0D"/>
                <w:sz w:val="24"/>
              </w:rPr>
            </w:pPr>
            <w:r>
              <w:rPr>
                <w:color w:val="0D0D0D"/>
                <w:sz w:val="24"/>
              </w:rPr>
              <w:t xml:space="preserve">Science </w:t>
            </w:r>
          </w:p>
          <w:p w14:paraId="4650C3F0" w14:textId="77777777" w:rsidR="00D21D3A" w:rsidRDefault="00D21D3A" w:rsidP="00D21D3A">
            <w:pPr>
              <w:spacing w:before="60" w:after="60" w:line="240" w:lineRule="auto"/>
              <w:ind w:left="57" w:right="57"/>
              <w:jc w:val="center"/>
              <w:rPr>
                <w:color w:val="0D0D0D"/>
                <w:sz w:val="24"/>
              </w:rPr>
            </w:pPr>
            <w:r>
              <w:rPr>
                <w:color w:val="0D0D0D"/>
                <w:sz w:val="24"/>
              </w:rPr>
              <w:t>(teacher assessment)</w:t>
            </w:r>
          </w:p>
        </w:tc>
        <w:tc>
          <w:tcPr>
            <w:tcW w:w="19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650C3F1" w14:textId="2D52859C" w:rsidR="00D21D3A" w:rsidRPr="00EF7975" w:rsidRDefault="00D21D3A" w:rsidP="00D21D3A">
            <w:pPr>
              <w:spacing w:before="60" w:after="60" w:line="240" w:lineRule="auto"/>
              <w:ind w:left="57" w:right="57"/>
              <w:jc w:val="center"/>
              <w:rPr>
                <w:color w:val="00B050"/>
                <w:sz w:val="24"/>
              </w:rPr>
            </w:pPr>
            <w:r w:rsidRPr="00EF7975">
              <w:rPr>
                <w:color w:val="00B050"/>
                <w:sz w:val="24"/>
              </w:rPr>
              <w:t>80%</w:t>
            </w:r>
          </w:p>
        </w:tc>
        <w:tc>
          <w:tcPr>
            <w:tcW w:w="1979" w:type="dxa"/>
            <w:tcBorders>
              <w:top w:val="single" w:sz="4" w:space="0" w:color="000000"/>
              <w:left w:val="single" w:sz="4" w:space="0" w:color="000000"/>
              <w:bottom w:val="single" w:sz="4" w:space="0" w:color="000000"/>
              <w:right w:val="single" w:sz="4" w:space="0" w:color="000000"/>
            </w:tcBorders>
            <w:vAlign w:val="center"/>
          </w:tcPr>
          <w:p w14:paraId="00A4A92F" w14:textId="6EB66CA2" w:rsidR="00D21D3A" w:rsidRDefault="00D21D3A" w:rsidP="00D21D3A">
            <w:pPr>
              <w:spacing w:before="60" w:after="60" w:line="240" w:lineRule="auto"/>
              <w:ind w:left="57" w:right="57"/>
              <w:jc w:val="center"/>
              <w:rPr>
                <w:rFonts w:cs="Arial"/>
                <w:sz w:val="24"/>
              </w:rPr>
            </w:pPr>
            <w:r>
              <w:rPr>
                <w:rFonts w:cs="Arial"/>
                <w:sz w:val="24"/>
              </w:rPr>
              <w:t>79%</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650C3F3" w14:textId="20E15C75" w:rsidR="00D21D3A" w:rsidRPr="00C00CF0" w:rsidRDefault="00D21D3A" w:rsidP="00D21D3A">
            <w:pPr>
              <w:spacing w:before="60" w:after="60" w:line="240" w:lineRule="auto"/>
              <w:ind w:left="57" w:right="57"/>
              <w:jc w:val="center"/>
              <w:rPr>
                <w:rFonts w:cs="Arial"/>
                <w:sz w:val="24"/>
              </w:rPr>
            </w:pPr>
            <w:r>
              <w:rPr>
                <w:rFonts w:cs="Arial"/>
                <w:sz w:val="24"/>
              </w:rPr>
              <w:t>83%</w:t>
            </w:r>
          </w:p>
        </w:tc>
        <w:tc>
          <w:tcPr>
            <w:tcW w:w="16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650C3F4" w14:textId="77777777" w:rsidR="00D21D3A" w:rsidRPr="00EF7975" w:rsidRDefault="00D21D3A" w:rsidP="00D21D3A">
            <w:pPr>
              <w:spacing w:before="60" w:after="60" w:line="240" w:lineRule="auto"/>
              <w:ind w:left="57" w:right="57"/>
              <w:jc w:val="center"/>
              <w:rPr>
                <w:color w:val="00B050"/>
                <w:sz w:val="24"/>
              </w:rPr>
            </w:pPr>
            <w:r w:rsidRPr="00EF7975">
              <w:rPr>
                <w:color w:val="00B050"/>
                <w:sz w:val="24"/>
              </w:rPr>
              <w:t>N/A</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650C3F5" w14:textId="77777777" w:rsidR="00D21D3A" w:rsidRDefault="00D21D3A" w:rsidP="00D21D3A">
            <w:pPr>
              <w:spacing w:before="60" w:after="60" w:line="240" w:lineRule="auto"/>
              <w:ind w:left="57" w:right="57"/>
              <w:jc w:val="center"/>
            </w:pPr>
            <w:r>
              <w:rPr>
                <w:rFonts w:cs="Arial"/>
                <w:sz w:val="24"/>
              </w:rPr>
              <w:t>N/A</w:t>
            </w:r>
          </w:p>
        </w:tc>
      </w:tr>
    </w:tbl>
    <w:p w14:paraId="4650C3F7" w14:textId="77777777" w:rsidR="00EA2A28" w:rsidRDefault="00EA2A28"/>
    <w:p w14:paraId="4650C3F8" w14:textId="3362B669" w:rsidR="00EA2A28" w:rsidRDefault="00C856A7" w:rsidP="00C856A7">
      <w:r>
        <w:t xml:space="preserve">* </w:t>
      </w:r>
      <w:r w:rsidR="005B7B91">
        <w:t>Please note, national data is from 2019 (the most recent year in which national figures were published). National data for 2022 will be published in the autumn term. It should be noted that there could be many valid reasons why 2022 results might look less favourable than 2019, particularly the disruption caused to education by Covid-19.</w:t>
      </w:r>
    </w:p>
    <w:p w14:paraId="4650C3F9" w14:textId="77777777" w:rsidR="00EA2A28" w:rsidRDefault="00EA2A28"/>
    <w:sectPr w:rsidR="00EA2A28" w:rsidSect="00C866DC">
      <w:headerReference w:type="default" r:id="rId10"/>
      <w:footerReference w:type="default" r:id="rId11"/>
      <w:headerReference w:type="first" r:id="rId12"/>
      <w:footerReference w:type="first" r:id="rId13"/>
      <w:pgSz w:w="16838" w:h="11906" w:orient="landscape"/>
      <w:pgMar w:top="1077" w:right="851" w:bottom="1077" w:left="992" w:header="425" w:footer="39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591A46" w14:textId="77777777" w:rsidR="008C0ED9" w:rsidRDefault="008C0ED9">
      <w:pPr>
        <w:spacing w:after="0" w:line="240" w:lineRule="auto"/>
      </w:pPr>
      <w:r>
        <w:separator/>
      </w:r>
    </w:p>
  </w:endnote>
  <w:endnote w:type="continuationSeparator" w:id="0">
    <w:p w14:paraId="2EA2D6B8" w14:textId="77777777" w:rsidR="008C0ED9" w:rsidRDefault="008C0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0C3D8" w14:textId="66C13DB3" w:rsidR="00D84E7B" w:rsidRDefault="005B7B91">
    <w:pPr>
      <w:pStyle w:val="BodyText"/>
      <w:tabs>
        <w:tab w:val="center" w:pos="4820"/>
        <w:tab w:val="right" w:pos="9746"/>
      </w:tabs>
    </w:pPr>
    <w:r>
      <w:rPr>
        <w:szCs w:val="20"/>
      </w:rPr>
      <w:tab/>
    </w:r>
    <w:r>
      <w:fldChar w:fldCharType="begin"/>
    </w:r>
    <w:r>
      <w:instrText xml:space="preserve"> PAGE </w:instrText>
    </w:r>
    <w:r>
      <w:fldChar w:fldCharType="separate"/>
    </w:r>
    <w:r w:rsidR="000B7488">
      <w:rPr>
        <w:noProof/>
      </w:rPr>
      <w:t>2</w:t>
    </w:r>
    <w:r>
      <w:fldChar w:fldCharType="end"/>
    </w:r>
  </w:p>
  <w:p w14:paraId="4650C3D9" w14:textId="77777777" w:rsidR="00D84E7B" w:rsidRDefault="004729B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0C3DD" w14:textId="77777777" w:rsidR="00D84E7B" w:rsidRDefault="004729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B05BBB" w14:textId="77777777" w:rsidR="008C0ED9" w:rsidRDefault="008C0ED9">
      <w:pPr>
        <w:spacing w:after="0" w:line="240" w:lineRule="auto"/>
      </w:pPr>
      <w:r>
        <w:rPr>
          <w:color w:val="000000"/>
        </w:rPr>
        <w:separator/>
      </w:r>
    </w:p>
  </w:footnote>
  <w:footnote w:type="continuationSeparator" w:id="0">
    <w:p w14:paraId="49DBE002" w14:textId="77777777" w:rsidR="008C0ED9" w:rsidRDefault="008C0ED9">
      <w:pPr>
        <w:spacing w:after="0" w:line="240" w:lineRule="auto"/>
      </w:pPr>
      <w:r>
        <w:continuationSeparator/>
      </w:r>
    </w:p>
  </w:footnote>
  <w:footnote w:id="1">
    <w:p w14:paraId="4650C3CE" w14:textId="613AC5EE" w:rsidR="00D21D3A" w:rsidRDefault="00D21D3A" w:rsidP="00D21D3A">
      <w:pPr>
        <w:pStyle w:val="FootnoteText"/>
      </w:pPr>
      <w:r>
        <w:rPr>
          <w:rStyle w:val="FootnoteReference"/>
        </w:rPr>
        <w:footnoteRef/>
      </w:r>
      <w:r>
        <w:t xml:space="preserve"> National percentages (2019) from: </w:t>
      </w:r>
      <w:hyperlink r:id="rId1" w:history="1">
        <w:r>
          <w:rPr>
            <w:rStyle w:val="Hyperlink"/>
            <w:sz w:val="20"/>
          </w:rPr>
          <w:t>www.gov.uk/government/statistics/national-curriculum-assessments-key-stage-2-2019-revised</w:t>
        </w:r>
      </w:hyperlink>
      <w:r>
        <w:t xml:space="preserve">  </w:t>
      </w:r>
    </w:p>
  </w:footnote>
  <w:footnote w:id="2">
    <w:p w14:paraId="4650C3CF" w14:textId="77777777" w:rsidR="00D21D3A" w:rsidRDefault="00D21D3A" w:rsidP="00D21D3A">
      <w:pPr>
        <w:pStyle w:val="FootnoteText"/>
      </w:pPr>
      <w:r>
        <w:rPr>
          <w:rStyle w:val="FootnoteReference"/>
        </w:rPr>
        <w:footnoteRef/>
      </w:r>
      <w:r>
        <w:t xml:space="preserve"> Scaled scores guidance: </w:t>
      </w:r>
      <w:hyperlink r:id="rId2" w:history="1">
        <w:r>
          <w:rPr>
            <w:rStyle w:val="Hyperlink"/>
            <w:sz w:val="20"/>
          </w:rPr>
          <w:t>www.gov.uk/guidance/understanding-scaled-scores-at-key-stage-2</w:t>
        </w:r>
      </w:hyperlink>
    </w:p>
  </w:footnote>
  <w:footnote w:id="3">
    <w:p w14:paraId="1258517C" w14:textId="26C82B08" w:rsidR="00D21D3A" w:rsidRDefault="00D21D3A" w:rsidP="00D21D3A">
      <w:pPr>
        <w:pStyle w:val="FootnoteText"/>
      </w:pPr>
      <w:r>
        <w:rPr>
          <w:rStyle w:val="FootnoteReference"/>
        </w:rPr>
        <w:footnoteRef/>
      </w:r>
      <w:r>
        <w:t xml:space="preserve"> National scaled scores (2019) from: </w:t>
      </w:r>
      <w:hyperlink r:id="rId3" w:history="1">
        <w:r>
          <w:rPr>
            <w:rStyle w:val="Hyperlink"/>
            <w:sz w:val="20"/>
          </w:rPr>
          <w:t>www.gov.uk/government/statistics/national-curriculum-assessments-key-stage-2-2019-revised</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0C3D6" w14:textId="77777777" w:rsidR="00D84E7B" w:rsidRDefault="004729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0C3DB" w14:textId="77777777" w:rsidR="00D84E7B" w:rsidRDefault="004729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30FEB"/>
    <w:multiLevelType w:val="multilevel"/>
    <w:tmpl w:val="C25CF4EE"/>
    <w:styleLink w:val="LFO1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 w15:restartNumberingAfterBreak="0">
    <w:nsid w:val="1B177C76"/>
    <w:multiLevelType w:val="multilevel"/>
    <w:tmpl w:val="3D007864"/>
    <w:styleLink w:val="LFO12"/>
    <w:lvl w:ilvl="0">
      <w:numFmt w:val="bullet"/>
      <w:pStyle w:val="List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37448C9"/>
    <w:multiLevelType w:val="multilevel"/>
    <w:tmpl w:val="19541B18"/>
    <w:styleLink w:val="WWOutlineListStyle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23BC10D9"/>
    <w:multiLevelType w:val="multilevel"/>
    <w:tmpl w:val="0928BC36"/>
    <w:styleLink w:val="LFO3"/>
    <w:lvl w:ilvl="0">
      <w:numFmt w:val="bullet"/>
      <w:pStyle w:val="ListBullet3"/>
      <w:lvlText w:val=""/>
      <w:lvlJc w:val="left"/>
      <w:pPr>
        <w:ind w:left="1072" w:hanging="360"/>
      </w:pPr>
      <w:rPr>
        <w:rFonts w:ascii="Symbol" w:hAnsi="Symbol"/>
      </w:rPr>
    </w:lvl>
    <w:lvl w:ilvl="1">
      <w:numFmt w:val="bullet"/>
      <w:lvlText w:val="o"/>
      <w:lvlJc w:val="left"/>
      <w:pPr>
        <w:ind w:left="1792" w:hanging="360"/>
      </w:pPr>
      <w:rPr>
        <w:rFonts w:ascii="Courier New" w:hAnsi="Courier New" w:cs="Courier New"/>
      </w:rPr>
    </w:lvl>
    <w:lvl w:ilvl="2">
      <w:numFmt w:val="bullet"/>
      <w:lvlText w:val=""/>
      <w:lvlJc w:val="left"/>
      <w:pPr>
        <w:ind w:left="2512" w:hanging="360"/>
      </w:pPr>
      <w:rPr>
        <w:rFonts w:ascii="Wingdings" w:hAnsi="Wingdings"/>
      </w:rPr>
    </w:lvl>
    <w:lvl w:ilvl="3">
      <w:numFmt w:val="bullet"/>
      <w:lvlText w:val=""/>
      <w:lvlJc w:val="left"/>
      <w:pPr>
        <w:ind w:left="3232" w:hanging="360"/>
      </w:pPr>
      <w:rPr>
        <w:rFonts w:ascii="Symbol" w:hAnsi="Symbol"/>
      </w:rPr>
    </w:lvl>
    <w:lvl w:ilvl="4">
      <w:numFmt w:val="bullet"/>
      <w:lvlText w:val="o"/>
      <w:lvlJc w:val="left"/>
      <w:pPr>
        <w:ind w:left="3952" w:hanging="360"/>
      </w:pPr>
      <w:rPr>
        <w:rFonts w:ascii="Courier New" w:hAnsi="Courier New" w:cs="Courier New"/>
      </w:rPr>
    </w:lvl>
    <w:lvl w:ilvl="5">
      <w:numFmt w:val="bullet"/>
      <w:lvlText w:val=""/>
      <w:lvlJc w:val="left"/>
      <w:pPr>
        <w:ind w:left="4672" w:hanging="360"/>
      </w:pPr>
      <w:rPr>
        <w:rFonts w:ascii="Wingdings" w:hAnsi="Wingdings"/>
      </w:rPr>
    </w:lvl>
    <w:lvl w:ilvl="6">
      <w:numFmt w:val="bullet"/>
      <w:lvlText w:val=""/>
      <w:lvlJc w:val="left"/>
      <w:pPr>
        <w:ind w:left="5392" w:hanging="360"/>
      </w:pPr>
      <w:rPr>
        <w:rFonts w:ascii="Symbol" w:hAnsi="Symbol"/>
      </w:rPr>
    </w:lvl>
    <w:lvl w:ilvl="7">
      <w:numFmt w:val="bullet"/>
      <w:lvlText w:val="o"/>
      <w:lvlJc w:val="left"/>
      <w:pPr>
        <w:ind w:left="6112" w:hanging="360"/>
      </w:pPr>
      <w:rPr>
        <w:rFonts w:ascii="Courier New" w:hAnsi="Courier New" w:cs="Courier New"/>
      </w:rPr>
    </w:lvl>
    <w:lvl w:ilvl="8">
      <w:numFmt w:val="bullet"/>
      <w:lvlText w:val=""/>
      <w:lvlJc w:val="left"/>
      <w:pPr>
        <w:ind w:left="6832" w:hanging="360"/>
      </w:pPr>
      <w:rPr>
        <w:rFonts w:ascii="Wingdings" w:hAnsi="Wingdings"/>
      </w:rPr>
    </w:lvl>
  </w:abstractNum>
  <w:abstractNum w:abstractNumId="4" w15:restartNumberingAfterBreak="0">
    <w:nsid w:val="282D7BB8"/>
    <w:multiLevelType w:val="multilevel"/>
    <w:tmpl w:val="3DE87A66"/>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31AB3C0D"/>
    <w:multiLevelType w:val="hybridMultilevel"/>
    <w:tmpl w:val="8F4855DE"/>
    <w:lvl w:ilvl="0" w:tplc="A4BA1A70">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E0159A"/>
    <w:multiLevelType w:val="multilevel"/>
    <w:tmpl w:val="E5E2AB5A"/>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480C3844"/>
    <w:multiLevelType w:val="multilevel"/>
    <w:tmpl w:val="763AFED8"/>
    <w:styleLink w:val="LFO11"/>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8" w15:restartNumberingAfterBreak="0">
    <w:nsid w:val="56C04B2C"/>
    <w:multiLevelType w:val="multilevel"/>
    <w:tmpl w:val="352AF8A6"/>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57813764"/>
    <w:multiLevelType w:val="multilevel"/>
    <w:tmpl w:val="48D20F76"/>
    <w:styleLink w:val="LFO5"/>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0" w15:restartNumberingAfterBreak="0">
    <w:nsid w:val="64CA5881"/>
    <w:multiLevelType w:val="multilevel"/>
    <w:tmpl w:val="22269216"/>
    <w:styleLink w:val="LFO4"/>
    <w:lvl w:ilvl="0">
      <w:numFmt w:val="bullet"/>
      <w:pStyle w:val="ListParagraph"/>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64F84C59"/>
    <w:multiLevelType w:val="multilevel"/>
    <w:tmpl w:val="94143F5A"/>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70177040"/>
    <w:multiLevelType w:val="multilevel"/>
    <w:tmpl w:val="27320C8A"/>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7D091399"/>
    <w:multiLevelType w:val="multilevel"/>
    <w:tmpl w:val="35DA4F3A"/>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
  </w:num>
  <w:num w:numId="2">
    <w:abstractNumId w:val="12"/>
  </w:num>
  <w:num w:numId="3">
    <w:abstractNumId w:val="4"/>
  </w:num>
  <w:num w:numId="4">
    <w:abstractNumId w:val="8"/>
  </w:num>
  <w:num w:numId="5">
    <w:abstractNumId w:val="6"/>
  </w:num>
  <w:num w:numId="6">
    <w:abstractNumId w:val="11"/>
  </w:num>
  <w:num w:numId="7">
    <w:abstractNumId w:val="13"/>
  </w:num>
  <w:num w:numId="8">
    <w:abstractNumId w:val="3"/>
  </w:num>
  <w:num w:numId="9">
    <w:abstractNumId w:val="10"/>
  </w:num>
  <w:num w:numId="10">
    <w:abstractNumId w:val="9"/>
  </w:num>
  <w:num w:numId="11">
    <w:abstractNumId w:val="7"/>
  </w:num>
  <w:num w:numId="12">
    <w:abstractNumId w:val="1"/>
  </w:num>
  <w:num w:numId="13">
    <w:abstractNumId w:val="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A28"/>
    <w:rsid w:val="000B7488"/>
    <w:rsid w:val="0024049B"/>
    <w:rsid w:val="002E4DD5"/>
    <w:rsid w:val="004729BB"/>
    <w:rsid w:val="005B7B91"/>
    <w:rsid w:val="0069346C"/>
    <w:rsid w:val="008C0ED9"/>
    <w:rsid w:val="008E159D"/>
    <w:rsid w:val="00A3233C"/>
    <w:rsid w:val="00BC6E44"/>
    <w:rsid w:val="00C00CF0"/>
    <w:rsid w:val="00C71CC8"/>
    <w:rsid w:val="00C856A7"/>
    <w:rsid w:val="00C866DC"/>
    <w:rsid w:val="00C953F5"/>
    <w:rsid w:val="00D21D3A"/>
    <w:rsid w:val="00D47B67"/>
    <w:rsid w:val="00D6131F"/>
    <w:rsid w:val="00DC49DB"/>
    <w:rsid w:val="00DF2C4D"/>
    <w:rsid w:val="00EA2A28"/>
    <w:rsid w:val="00EF79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0C3CE"/>
  <w15:docId w15:val="{D7753A45-A07A-4FC0-B212-BDC6A0538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160" w:line="288" w:lineRule="auto"/>
    </w:pPr>
    <w:rPr>
      <w:sz w:val="22"/>
      <w:szCs w:val="24"/>
    </w:rPr>
  </w:style>
  <w:style w:type="paragraph" w:styleId="Heading1">
    <w:name w:val="heading 1"/>
    <w:basedOn w:val="Normal"/>
    <w:next w:val="Normal"/>
    <w:uiPriority w:val="9"/>
    <w:qFormat/>
    <w:pPr>
      <w:spacing w:before="360" w:after="240" w:line="240" w:lineRule="auto"/>
      <w:outlineLvl w:val="0"/>
    </w:pPr>
    <w:rPr>
      <w:b/>
      <w:color w:val="104F75"/>
      <w:sz w:val="36"/>
    </w:rPr>
  </w:style>
  <w:style w:type="paragraph" w:styleId="Heading2">
    <w:name w:val="heading 2"/>
    <w:basedOn w:val="Normal"/>
    <w:next w:val="Normal"/>
    <w:uiPriority w:val="9"/>
    <w:semiHidden/>
    <w:unhideWhenUsed/>
    <w:qFormat/>
    <w:pPr>
      <w:keepNext/>
      <w:spacing w:before="240" w:after="240" w:line="240" w:lineRule="auto"/>
      <w:outlineLvl w:val="1"/>
    </w:pPr>
    <w:rPr>
      <w:b/>
      <w:color w:val="104F75"/>
      <w:sz w:val="32"/>
      <w:szCs w:val="32"/>
    </w:rPr>
  </w:style>
  <w:style w:type="paragraph" w:styleId="Heading3">
    <w:name w:val="heading 3"/>
    <w:basedOn w:val="Heading2"/>
    <w:next w:val="Normal"/>
    <w:uiPriority w:val="9"/>
    <w:semiHidden/>
    <w:unhideWhenUsed/>
    <w:qFormat/>
    <w:pPr>
      <w:outlineLvl w:val="2"/>
    </w:pPr>
    <w:rPr>
      <w:bCs/>
      <w:sz w:val="28"/>
      <w:szCs w:val="28"/>
    </w:rPr>
  </w:style>
  <w:style w:type="paragraph" w:styleId="Heading4">
    <w:name w:val="heading 4"/>
    <w:basedOn w:val="Heading2"/>
    <w:next w:val="Normal"/>
    <w:uiPriority w:val="9"/>
    <w:semiHidden/>
    <w:unhideWhenUsed/>
    <w:qFormat/>
    <w:pPr>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6">
    <w:name w:val="WW_OutlineListStyle_6"/>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customStyle="1" w:styleId="EndBox">
    <w:name w:val="EndBox"/>
    <w:basedOn w:val="Normal"/>
    <w:rPr>
      <w:szCs w:val="20"/>
    </w:rPr>
  </w:style>
  <w:style w:type="paragraph" w:styleId="TOCHeading">
    <w:name w:val="TOC Heading"/>
    <w:basedOn w:val="Normal"/>
    <w:next w:val="Normal"/>
    <w:pPr>
      <w:pageBreakBefore/>
    </w:pPr>
    <w:rPr>
      <w:rFonts w:cs="Arial"/>
      <w:b/>
      <w:color w:val="365F91"/>
      <w:sz w:val="36"/>
      <w:szCs w:val="28"/>
      <w:lang w:eastAsia="ja-JP"/>
    </w:rPr>
  </w:style>
  <w:style w:type="paragraph" w:styleId="Header">
    <w:name w:val="header"/>
    <w:basedOn w:val="Normal"/>
    <w:pPr>
      <w:tabs>
        <w:tab w:val="center" w:pos="4513"/>
        <w:tab w:val="right" w:pos="9026"/>
      </w:tabs>
      <w:spacing w:after="240" w:line="240" w:lineRule="auto"/>
    </w:pPr>
  </w:style>
  <w:style w:type="character" w:customStyle="1" w:styleId="HeaderChar">
    <w:name w:val="Header Char"/>
    <w:basedOn w:val="DefaultParagraphFont"/>
    <w:rPr>
      <w:sz w:val="22"/>
      <w:szCs w:val="24"/>
    </w:rPr>
  </w:style>
  <w:style w:type="paragraph" w:styleId="ListParagraph">
    <w:name w:val="List Paragraph"/>
    <w:basedOn w:val="Normal"/>
    <w:pPr>
      <w:numPr>
        <w:numId w:val="9"/>
      </w:numPr>
      <w:spacing w:after="240"/>
    </w:p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ListBullet3">
    <w:name w:val="List Bullet 3"/>
    <w:basedOn w:val="Normal"/>
    <w:pPr>
      <w:numPr>
        <w:numId w:val="8"/>
      </w:numPr>
      <w:tabs>
        <w:tab w:val="left" w:pos="-7078"/>
      </w:tabs>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paragraph" w:styleId="ListBullet">
    <w:name w:val="List Bullet"/>
    <w:basedOn w:val="ListParagraph"/>
    <w:pPr>
      <w:numPr>
        <w:numId w:val="12"/>
      </w:numPr>
    </w:pPr>
  </w:style>
  <w:style w:type="character" w:customStyle="1" w:styleId="ListBullet3Char">
    <w:name w:val="List Bullet 3 Char"/>
    <w:rPr>
      <w:sz w:val="22"/>
      <w:szCs w:val="24"/>
    </w:rPr>
  </w:style>
  <w:style w:type="character" w:customStyle="1" w:styleId="Heading5Char">
    <w:name w:val="Heading 5 Char"/>
    <w:rPr>
      <w:rFonts w:ascii="Calibri" w:hAnsi="Calibri"/>
      <w:b/>
      <w:bCs/>
      <w:i/>
      <w:iCs/>
      <w:sz w:val="26"/>
      <w:szCs w:val="26"/>
    </w:rPr>
  </w:style>
  <w:style w:type="character" w:customStyle="1" w:styleId="Heading6Char">
    <w:name w:val="Heading 6 Char"/>
    <w:rPr>
      <w:rFonts w:ascii="Calibri" w:hAnsi="Calibri"/>
      <w:b/>
      <w:bCs/>
      <w:sz w:val="22"/>
      <w:szCs w:val="22"/>
    </w:rPr>
  </w:style>
  <w:style w:type="character" w:customStyle="1" w:styleId="Heading7Char">
    <w:name w:val="Heading 7 Char"/>
    <w:rPr>
      <w:rFonts w:ascii="Calibri" w:hAnsi="Calibri"/>
      <w:sz w:val="22"/>
      <w:szCs w:val="24"/>
    </w:rPr>
  </w:style>
  <w:style w:type="character" w:customStyle="1" w:styleId="Heading8Char">
    <w:name w:val="Heading 8 Char"/>
    <w:rPr>
      <w:rFonts w:ascii="Calibri" w:hAnsi="Calibri"/>
      <w:i/>
      <w:iCs/>
      <w:sz w:val="22"/>
      <w:szCs w:val="24"/>
    </w:rPr>
  </w:style>
  <w:style w:type="character" w:customStyle="1" w:styleId="Heading9Char">
    <w:name w:val="Heading 9 Char"/>
    <w:rPr>
      <w:rFonts w:ascii="Cambria" w:hAnsi="Cambria"/>
      <w:sz w:val="22"/>
      <w:szCs w:val="22"/>
    </w:rPr>
  </w:style>
  <w:style w:type="paragraph" w:styleId="BodyText">
    <w:name w:val="Body Text"/>
    <w:basedOn w:val="Normal"/>
    <w:pPr>
      <w:spacing w:after="120"/>
    </w:pPr>
  </w:style>
  <w:style w:type="character" w:customStyle="1" w:styleId="BodyTextChar">
    <w:name w:val="Body Text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sz w:val="24"/>
      <w:szCs w:val="24"/>
    </w:rPr>
  </w:style>
  <w:style w:type="character" w:styleId="FollowedHyperlink">
    <w:name w:val="FollowedHyperlink"/>
    <w:basedOn w:val="DefaultParagraphFont"/>
    <w:rPr>
      <w:color w:val="800080"/>
      <w:u w:val="single"/>
    </w:rPr>
  </w:style>
  <w:style w:type="paragraph" w:customStyle="1" w:styleId="ColouredBoxHeadline">
    <w:name w:val="Coloured Box Headline"/>
    <w:basedOn w:val="Normal"/>
    <w:pPr>
      <w:spacing w:before="120" w:after="240"/>
    </w:pPr>
    <w:rPr>
      <w:b/>
      <w:bCs/>
      <w:sz w:val="28"/>
      <w:szCs w:val="20"/>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DfESOutNumbered">
    <w:name w:val="DfESOutNumbered"/>
    <w:basedOn w:val="Normal"/>
    <w:pPr>
      <w:widowControl w:val="0"/>
      <w:numPr>
        <w:numId w:val="10"/>
      </w:numPr>
      <w:overflowPunct w:val="0"/>
      <w:autoSpaceDE w:val="0"/>
      <w:spacing w:after="240" w:line="240" w:lineRule="auto"/>
    </w:pPr>
    <w:rPr>
      <w:rFonts w:cs="Arial"/>
      <w:szCs w:val="20"/>
      <w:lang w:eastAsia="en-US"/>
    </w:rPr>
  </w:style>
  <w:style w:type="character" w:customStyle="1" w:styleId="DfESOutNumberedChar">
    <w:name w:val="DfESOutNumbered Char"/>
    <w:basedOn w:val="DefaultParagraphFont"/>
    <w:rPr>
      <w:rFonts w:cs="Arial"/>
      <w:sz w:val="22"/>
      <w:lang w:eastAsia="en-US"/>
    </w:rPr>
  </w:style>
  <w:style w:type="paragraph" w:customStyle="1" w:styleId="TableHeader">
    <w:name w:val="TableHeader"/>
    <w:basedOn w:val="Normal"/>
    <w:pPr>
      <w:spacing w:after="0"/>
    </w:pPr>
    <w:rPr>
      <w:b/>
      <w:color w:val="0D0D0D"/>
      <w:sz w:val="24"/>
    </w:rPr>
  </w:style>
  <w:style w:type="paragraph" w:customStyle="1" w:styleId="TableRow">
    <w:name w:val="TableRow"/>
    <w:basedOn w:val="Normal"/>
    <w:pPr>
      <w:spacing w:after="0"/>
    </w:pPr>
    <w:rPr>
      <w:color w:val="0D0D0D"/>
      <w:sz w:val="24"/>
    </w:rPr>
  </w:style>
  <w:style w:type="character" w:customStyle="1" w:styleId="TableRowChar">
    <w:name w:val="TableRow Char"/>
    <w:rPr>
      <w:color w:val="0D0D0D"/>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TableHeaderCentered">
    <w:name w:val="TableHeaderCentered"/>
    <w:basedOn w:val="TableHeader"/>
    <w:pPr>
      <w:jc w:val="center"/>
    </w:pPr>
    <w:rPr>
      <w:bCs/>
      <w:szCs w:val="20"/>
    </w:rPr>
  </w:style>
  <w:style w:type="paragraph" w:customStyle="1" w:styleId="DeptBullets">
    <w:name w:val="DeptBullets"/>
    <w:basedOn w:val="Normal"/>
    <w:pPr>
      <w:widowControl w:val="0"/>
      <w:numPr>
        <w:numId w:val="11"/>
      </w:numPr>
      <w:overflowPunct w:val="0"/>
      <w:autoSpaceDE w:val="0"/>
      <w:spacing w:after="240" w:line="240" w:lineRule="auto"/>
    </w:pPr>
    <w:rPr>
      <w:sz w:val="24"/>
      <w:szCs w:val="20"/>
      <w:lang w:eastAsia="en-US"/>
    </w:rPr>
  </w:style>
  <w:style w:type="character" w:customStyle="1" w:styleId="DeptBulletsChar">
    <w:name w:val="DeptBullets Char"/>
    <w:basedOn w:val="DefaultParagraphFont"/>
    <w:rPr>
      <w:sz w:val="24"/>
      <w:lang w:eastAsia="en-US"/>
    </w:rPr>
  </w:style>
  <w:style w:type="character" w:customStyle="1" w:styleId="LogosChar">
    <w:name w:val="Logos Char"/>
    <w:basedOn w:val="DefaultParagraphFont"/>
    <w:rPr>
      <w:color w:val="0D0D0D"/>
      <w:sz w:val="24"/>
      <w:szCs w:val="24"/>
    </w:rPr>
  </w:style>
  <w:style w:type="paragraph" w:customStyle="1" w:styleId="Logos">
    <w:name w:val="Logos"/>
    <w:basedOn w:val="Normal"/>
    <w:pPr>
      <w:pageBreakBefore/>
      <w:widowControl w:val="0"/>
      <w:spacing w:after="240"/>
    </w:pPr>
    <w:rPr>
      <w:color w:val="0D0D0D"/>
      <w:sz w:val="24"/>
    </w:rPr>
  </w:style>
  <w:style w:type="paragraph" w:customStyle="1" w:styleId="DfESOutNumbered1">
    <w:name w:val="DfESOutNumbered1"/>
    <w:basedOn w:val="Normal"/>
    <w:pPr>
      <w:numPr>
        <w:numId w:val="13"/>
      </w:numPr>
      <w:spacing w:after="240"/>
    </w:pPr>
    <w:rPr>
      <w:color w:val="0D0D0D"/>
      <w:sz w:val="24"/>
    </w:rPr>
  </w:style>
  <w:style w:type="character" w:customStyle="1" w:styleId="DfESOutNumbered1Char">
    <w:name w:val="DfESOutNumbered1 Char"/>
    <w:rPr>
      <w:color w:val="0D0D0D"/>
      <w:sz w:val="24"/>
      <w:szCs w:val="24"/>
    </w:rPr>
  </w:style>
  <w:style w:type="paragraph" w:customStyle="1" w:styleId="CopyrightSpacing">
    <w:name w:val="CopyrightSpacing"/>
    <w:basedOn w:val="Normal"/>
    <w:pPr>
      <w:spacing w:before="6000" w:after="120"/>
    </w:pPr>
    <w:rPr>
      <w:sz w:val="24"/>
    </w:rPr>
  </w:style>
  <w:style w:type="character" w:customStyle="1" w:styleId="CopyrightSpacingChar">
    <w:name w:val="CopyrightSpacing Char"/>
    <w:rPr>
      <w:sz w:val="24"/>
      <w:szCs w:val="24"/>
    </w:rPr>
  </w:style>
  <w:style w:type="paragraph" w:styleId="FootnoteText">
    <w:name w:val="footnote text"/>
    <w:basedOn w:val="Normal"/>
    <w:pPr>
      <w:spacing w:after="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UnresolvedMention">
    <w:name w:val="Unresolved Mention"/>
    <w:basedOn w:val="DefaultParagraphFont"/>
    <w:rPr>
      <w:color w:val="605E5C"/>
      <w:shd w:val="clear" w:color="auto" w:fill="E1DFDD"/>
    </w:rPr>
  </w:style>
  <w:style w:type="numbering" w:customStyle="1" w:styleId="WWOutlineListStyle5">
    <w:name w:val="WW_OutlineListStyle_5"/>
    <w:basedOn w:val="NoList"/>
    <w:pPr>
      <w:numPr>
        <w:numId w:val="2"/>
      </w:numPr>
    </w:pPr>
  </w:style>
  <w:style w:type="numbering" w:customStyle="1" w:styleId="WWOutlineListStyle4">
    <w:name w:val="WW_OutlineListStyle_4"/>
    <w:basedOn w:val="NoList"/>
    <w:pPr>
      <w:numPr>
        <w:numId w:val="3"/>
      </w:numPr>
    </w:pPr>
  </w:style>
  <w:style w:type="numbering" w:customStyle="1" w:styleId="WWOutlineListStyle3">
    <w:name w:val="WW_OutlineListStyle_3"/>
    <w:basedOn w:val="NoList"/>
    <w:pPr>
      <w:numPr>
        <w:numId w:val="4"/>
      </w:numPr>
    </w:pPr>
  </w:style>
  <w:style w:type="numbering" w:customStyle="1" w:styleId="WWOutlineListStyle2">
    <w:name w:val="WW_OutlineListStyle_2"/>
    <w:basedOn w:val="NoList"/>
    <w:pPr>
      <w:numPr>
        <w:numId w:val="5"/>
      </w:numPr>
    </w:pPr>
  </w:style>
  <w:style w:type="numbering" w:customStyle="1" w:styleId="WWOutlineListStyle1">
    <w:name w:val="WW_OutlineListStyle_1"/>
    <w:basedOn w:val="NoList"/>
    <w:pPr>
      <w:numPr>
        <w:numId w:val="6"/>
      </w:numPr>
    </w:pPr>
  </w:style>
  <w:style w:type="numbering" w:customStyle="1" w:styleId="WWOutlineListStyle">
    <w:name w:val="WW_OutlineListStyle"/>
    <w:basedOn w:val="NoList"/>
    <w:pPr>
      <w:numPr>
        <w:numId w:val="7"/>
      </w:numPr>
    </w:pPr>
  </w:style>
  <w:style w:type="numbering" w:customStyle="1" w:styleId="LFO3">
    <w:name w:val="LFO3"/>
    <w:basedOn w:val="NoList"/>
    <w:pPr>
      <w:numPr>
        <w:numId w:val="8"/>
      </w:numPr>
    </w:pPr>
  </w:style>
  <w:style w:type="numbering" w:customStyle="1" w:styleId="LFO4">
    <w:name w:val="LFO4"/>
    <w:basedOn w:val="NoList"/>
    <w:pPr>
      <w:numPr>
        <w:numId w:val="9"/>
      </w:numPr>
    </w:pPr>
  </w:style>
  <w:style w:type="numbering" w:customStyle="1" w:styleId="LFO5">
    <w:name w:val="LFO5"/>
    <w:basedOn w:val="NoList"/>
    <w:pPr>
      <w:numPr>
        <w:numId w:val="10"/>
      </w:numPr>
    </w:pPr>
  </w:style>
  <w:style w:type="numbering" w:customStyle="1" w:styleId="LFO11">
    <w:name w:val="LFO11"/>
    <w:basedOn w:val="NoList"/>
    <w:pPr>
      <w:numPr>
        <w:numId w:val="11"/>
      </w:numPr>
    </w:pPr>
  </w:style>
  <w:style w:type="numbering" w:customStyle="1" w:styleId="LFO12">
    <w:name w:val="LFO12"/>
    <w:basedOn w:val="NoList"/>
    <w:pPr>
      <w:numPr>
        <w:numId w:val="12"/>
      </w:numPr>
    </w:pPr>
  </w:style>
  <w:style w:type="numbering" w:customStyle="1" w:styleId="LFO13">
    <w:name w:val="LFO13"/>
    <w:basedOn w:val="NoList"/>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hfl365-my.sharepoint.com/personal/ben_fuller_hertsforlearning_co_uk/Documents/www.gov.uk/government/statistics/national-curriculum-assessments-key-stage-2-2019-revised" TargetMode="External"/><Relationship Id="rId2" Type="http://schemas.openxmlformats.org/officeDocument/2006/relationships/hyperlink" Target="http://www.gov.uk/guidance/scaled-scores-at-key-stage-2" TargetMode="External"/><Relationship Id="rId1" Type="http://schemas.openxmlformats.org/officeDocument/2006/relationships/hyperlink" Target="https://hfl365-my.sharepoint.com/personal/ben_fuller_hertsforlearning_co_uk/Documents/www.gov.uk/government/statistics/national-curriculum-assessments-key-stage-2-2019-revised" TargetMode="External"/></Relationships>
</file>

<file path=word/theme/theme1.xml><?xml version="1.0" encoding="utf-8"?>
<a:theme xmlns:a="http://schemas.openxmlformats.org/drawingml/2006/main" name="Office Theme">
  <a:themeElements>
    <a:clrScheme name="HfL Theme">
      <a:dk1>
        <a:sysClr val="windowText" lastClr="000000"/>
      </a:dk1>
      <a:lt1>
        <a:sysClr val="window" lastClr="FFFFFF"/>
      </a:lt1>
      <a:dk2>
        <a:srgbClr val="47C7B0"/>
      </a:dk2>
      <a:lt2>
        <a:srgbClr val="EEECE1"/>
      </a:lt2>
      <a:accent1>
        <a:srgbClr val="47C7B0"/>
      </a:accent1>
      <a:accent2>
        <a:srgbClr val="47C7B0"/>
      </a:accent2>
      <a:accent3>
        <a:srgbClr val="1A2857"/>
      </a:accent3>
      <a:accent4>
        <a:srgbClr val="A94E91"/>
      </a:accent4>
      <a:accent5>
        <a:srgbClr val="74CC3B"/>
      </a:accent5>
      <a:accent6>
        <a:srgbClr val="F05133"/>
      </a:accent6>
      <a:hlink>
        <a:srgbClr val="1A2857"/>
      </a:hlink>
      <a:folHlink>
        <a:srgbClr val="A94E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026F534499734DAE962351500E8645" ma:contentTypeVersion="16" ma:contentTypeDescription="Create a new document." ma:contentTypeScope="" ma:versionID="adb99b6a571db3c480e88679216c51fd">
  <xsd:schema xmlns:xsd="http://www.w3.org/2001/XMLSchema" xmlns:xs="http://www.w3.org/2001/XMLSchema" xmlns:p="http://schemas.microsoft.com/office/2006/metadata/properties" xmlns:ns2="f875c0bc-8ba2-401f-99af-ed674c414ce8" xmlns:ns3="9de221fa-db7a-4a15-bb62-8cf02db7b4d8" targetNamespace="http://schemas.microsoft.com/office/2006/metadata/properties" ma:root="true" ma:fieldsID="4f927af5ed4e125eee5c701733919f9c" ns2:_="" ns3:_="">
    <xsd:import namespace="f875c0bc-8ba2-401f-99af-ed674c414ce8"/>
    <xsd:import namespace="9de221fa-db7a-4a15-bb62-8cf02db7b4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c0bc-8ba2-401f-99af-ed674c414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461de3a-1965-4b95-b4c2-871112432b4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de221fa-db7a-4a15-bb62-8cf02db7b4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368f969-33c0-4dc0-9ffa-375d08407daf}" ma:internalName="TaxCatchAll" ma:showField="CatchAllData" ma:web="9de221fa-db7a-4a15-bb62-8cf02db7b4d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E7BB26-0FE9-4415-A653-B3A99C625313}">
  <ds:schemaRefs>
    <ds:schemaRef ds:uri="http://schemas.microsoft.com/sharepoint/v3/contenttype/forms"/>
  </ds:schemaRefs>
</ds:datastoreItem>
</file>

<file path=customXml/itemProps2.xml><?xml version="1.0" encoding="utf-8"?>
<ds:datastoreItem xmlns:ds="http://schemas.openxmlformats.org/officeDocument/2006/customXml" ds:itemID="{2F90CF26-B818-4F41-BC29-56B002FC71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5c0bc-8ba2-401f-99af-ed674c414ce8"/>
    <ds:schemaRef ds:uri="9de221fa-db7a-4a15-bb62-8cf02db7b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2</Pages>
  <Words>177</Words>
  <Characters>1013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KS2 comparative report template</vt:lpstr>
    </vt:vector>
  </TitlesOfParts>
  <Company>Herts for Learning Ltd</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KS2 comparative report template</dc:title>
  <dc:creator>Publishing.TEAM@education.gsi.gov.uk</dc:creator>
  <dc:description>DfE-SD-V1.4</dc:description>
  <cp:lastModifiedBy>Zoe Longstaff</cp:lastModifiedBy>
  <cp:revision>12</cp:revision>
  <cp:lastPrinted>2022-07-05T18:56:00Z</cp:lastPrinted>
  <dcterms:created xsi:type="dcterms:W3CDTF">2022-07-03T07:23:00Z</dcterms:created>
  <dcterms:modified xsi:type="dcterms:W3CDTF">2022-07-13T10:39:00Z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0x01010061B827D2B2699C41B3D164C1E82366EB0400E184A83ADB9E1044922278051EC33A2C</vt:lpwstr>
  </property>
  <property fmtid="{D5CDD505-2E9C-101B-9397-08002B2CF9AE}" pid="4" name="_dlc_DocIdItemGuid">
    <vt:lpwstr>9408c4c2-5a34-400d-9531-f9790c51e5d3</vt:lpwstr>
  </property>
  <property fmtid="{D5CDD505-2E9C-101B-9397-08002B2CF9AE}" pid="5" name="Rights:ProtectiveMarking">
    <vt:lpwstr>3;#Official|0884c477-2e62-47ea-b19c-5af6e91124c5</vt:lpwstr>
  </property>
  <property fmtid="{D5CDD505-2E9C-101B-9397-08002B2CF9AE}" pid="6" name="Function">
    <vt:lpwstr/>
  </property>
  <property fmtid="{D5CDD505-2E9C-101B-9397-08002B2CF9AE}" pid="7" name="Subject1">
    <vt:lpwstr/>
  </property>
  <property fmtid="{D5CDD505-2E9C-101B-9397-08002B2CF9AE}" pid="8" name="SiteType">
    <vt:lpwstr/>
  </property>
  <property fmtid="{D5CDD505-2E9C-101B-9397-08002B2CF9AE}" pid="9" name="OrganisationalUnit">
    <vt:lpwstr>1;#STA|66576609-c685-49b2-8de0-b806a5dc4789</vt:lpwstr>
  </property>
  <property fmtid="{D5CDD505-2E9C-101B-9397-08002B2CF9AE}" pid="10" name="Owner">
    <vt:lpwstr>2;#STA|c8765260-e14a-4cab-860c-a8f6854ef79c</vt:lpwstr>
  </property>
</Properties>
</file>